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0" w:rsidRDefault="00E83680" w:rsidP="00E83680">
      <w:pPr>
        <w:pStyle w:val="Nzev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Zpráva představenstva o podnikatelské činnosti a stavu majetku Společnosti za r. </w:t>
      </w:r>
      <w:r w:rsidR="00447C67">
        <w:rPr>
          <w:b/>
          <w:sz w:val="24"/>
          <w:szCs w:val="24"/>
        </w:rPr>
        <w:t>2014</w:t>
      </w:r>
    </w:p>
    <w:p w:rsidR="00D91BB5" w:rsidRDefault="00D91BB5" w:rsidP="00E83680">
      <w:pPr>
        <w:pStyle w:val="Nzev"/>
        <w:rPr>
          <w:b/>
          <w:sz w:val="24"/>
          <w:szCs w:val="24"/>
        </w:rPr>
      </w:pPr>
    </w:p>
    <w:p w:rsidR="00E83680" w:rsidRDefault="00E83680" w:rsidP="00E83680">
      <w:pPr>
        <w:pStyle w:val="Nadpis3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u w:val="single"/>
        </w:rPr>
      </w:pPr>
    </w:p>
    <w:p w:rsidR="00E83680" w:rsidRDefault="00E83680" w:rsidP="00E83680">
      <w:pPr>
        <w:outlineLvl w:val="0"/>
        <w:rPr>
          <w:b/>
        </w:rPr>
      </w:pPr>
      <w:r>
        <w:rPr>
          <w:b/>
        </w:rPr>
        <w:t xml:space="preserve">Název :                     </w:t>
      </w:r>
      <w:r w:rsidR="005C67D7">
        <w:rPr>
          <w:b/>
        </w:rPr>
        <w:t xml:space="preserve">   </w:t>
      </w:r>
      <w:r>
        <w:rPr>
          <w:b/>
        </w:rPr>
        <w:t xml:space="preserve">ALEVEN </w:t>
      </w:r>
      <w:r w:rsidR="005C67D7">
        <w:rPr>
          <w:b/>
        </w:rPr>
        <w:t>Plazy,</w:t>
      </w:r>
      <w:r>
        <w:rPr>
          <w:b/>
        </w:rPr>
        <w:t xml:space="preserve"> a.s.</w:t>
      </w:r>
    </w:p>
    <w:p w:rsidR="00E83680" w:rsidRDefault="00E83680" w:rsidP="00E83680">
      <w:pPr>
        <w:rPr>
          <w:b/>
        </w:rPr>
      </w:pPr>
    </w:p>
    <w:p w:rsidR="00E83680" w:rsidRDefault="00E83680" w:rsidP="00E83680">
      <w:r>
        <w:rPr>
          <w:b/>
        </w:rPr>
        <w:t xml:space="preserve">                                  </w:t>
      </w:r>
      <w:r w:rsidR="005C67D7">
        <w:rPr>
          <w:b/>
        </w:rPr>
        <w:t xml:space="preserve">  </w:t>
      </w:r>
      <w:r>
        <w:t>(dále jen „Společnost“)</w:t>
      </w:r>
    </w:p>
    <w:p w:rsidR="00E83680" w:rsidRDefault="00E83680" w:rsidP="00E83680"/>
    <w:p w:rsidR="00E83680" w:rsidRDefault="00E83680" w:rsidP="00E83680">
      <w:r>
        <w:rPr>
          <w:b/>
        </w:rPr>
        <w:t xml:space="preserve">Zápis v OR:             </w:t>
      </w:r>
      <w:r w:rsidR="005C67D7">
        <w:rPr>
          <w:b/>
        </w:rPr>
        <w:t xml:space="preserve">  </w:t>
      </w:r>
      <w:r>
        <w:t xml:space="preserve">obch. rejstřík vedený Městským soudem v Praze, oddíl B, vložka </w:t>
      </w:r>
      <w:r w:rsidR="00FE2283">
        <w:t>1</w:t>
      </w:r>
      <w:r w:rsidR="0057685B">
        <w:t>1</w:t>
      </w:r>
      <w:r w:rsidR="00FE2283">
        <w:t>2</w:t>
      </w:r>
      <w:r w:rsidR="0057685B">
        <w:t>27</w:t>
      </w:r>
    </w:p>
    <w:p w:rsidR="00E83680" w:rsidRDefault="00E83680" w:rsidP="00E83680">
      <w:r>
        <w:t xml:space="preserve">                                                                                                                       </w:t>
      </w:r>
    </w:p>
    <w:p w:rsidR="00E83680" w:rsidRDefault="00E83680" w:rsidP="00E83680">
      <w:pPr>
        <w:pStyle w:val="Nadpis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IČ :                            </w:t>
      </w:r>
      <w:r w:rsidR="005C67D7">
        <w:rPr>
          <w:rFonts w:ascii="Times New Roman" w:hAnsi="Times New Roman"/>
          <w:sz w:val="24"/>
        </w:rPr>
        <w:t xml:space="preserve"> </w:t>
      </w:r>
      <w:r w:rsidR="00FE2283">
        <w:rPr>
          <w:rFonts w:ascii="Times New Roman" w:hAnsi="Times New Roman"/>
          <w:b w:val="0"/>
          <w:bCs/>
          <w:sz w:val="24"/>
        </w:rPr>
        <w:t>27</w:t>
      </w:r>
      <w:r w:rsidR="0057685B">
        <w:rPr>
          <w:rFonts w:ascii="Times New Roman" w:hAnsi="Times New Roman"/>
          <w:b w:val="0"/>
          <w:bCs/>
          <w:sz w:val="24"/>
        </w:rPr>
        <w:t>616886</w:t>
      </w:r>
    </w:p>
    <w:p w:rsidR="00E83680" w:rsidRDefault="00E83680" w:rsidP="00E83680">
      <w:r>
        <w:t xml:space="preserve">        </w:t>
      </w:r>
      <w:r>
        <w:tab/>
      </w:r>
    </w:p>
    <w:p w:rsidR="00E83680" w:rsidRDefault="00E83680" w:rsidP="00E83680">
      <w:pPr>
        <w:pStyle w:val="Nadpis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DIČ :                         </w:t>
      </w:r>
      <w:r w:rsidR="005C67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CZ27</w:t>
      </w:r>
      <w:r w:rsidR="0057685B">
        <w:rPr>
          <w:rFonts w:ascii="Times New Roman" w:hAnsi="Times New Roman"/>
          <w:b w:val="0"/>
          <w:sz w:val="24"/>
        </w:rPr>
        <w:t>616886</w:t>
      </w:r>
    </w:p>
    <w:p w:rsidR="00E83680" w:rsidRDefault="00E83680" w:rsidP="00E83680"/>
    <w:p w:rsidR="00E83680" w:rsidRDefault="00E83680" w:rsidP="00E83680">
      <w:pPr>
        <w:pStyle w:val="Zkladntext"/>
        <w:spacing w:line="3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Sídlo:                          </w:t>
      </w:r>
      <w:r>
        <w:rPr>
          <w:rFonts w:ascii="Times New Roman" w:hAnsi="Times New Roman"/>
          <w:bCs/>
        </w:rPr>
        <w:t>Mladá Boleslav, Plazy 103, PSČ 293 01</w:t>
      </w:r>
    </w:p>
    <w:p w:rsidR="00E83680" w:rsidRDefault="00E83680" w:rsidP="00E83680"/>
    <w:p w:rsidR="00FE2283" w:rsidRDefault="00E83680" w:rsidP="00E83680">
      <w:pPr>
        <w:spacing w:line="280" w:lineRule="atLeast"/>
      </w:pPr>
      <w:r w:rsidRPr="00714CBB">
        <w:rPr>
          <w:b/>
        </w:rPr>
        <w:t xml:space="preserve">Telefon :                     </w:t>
      </w:r>
      <w:r w:rsidR="00714CBB" w:rsidRPr="00714CBB">
        <w:t xml:space="preserve">+420 </w:t>
      </w:r>
      <w:r w:rsidRPr="00714CBB">
        <w:t>326</w:t>
      </w:r>
      <w:r w:rsidR="00714CBB" w:rsidRPr="00714CBB">
        <w:t> </w:t>
      </w:r>
      <w:r w:rsidRPr="00714CBB">
        <w:t>332</w:t>
      </w:r>
      <w:r w:rsidR="00714CBB" w:rsidRPr="00714CBB">
        <w:t xml:space="preserve"> </w:t>
      </w:r>
      <w:r w:rsidRPr="00714CBB">
        <w:t>355</w:t>
      </w:r>
    </w:p>
    <w:p w:rsidR="00E83680" w:rsidRDefault="00E83680" w:rsidP="00E83680"/>
    <w:p w:rsidR="00E83680" w:rsidRDefault="005C67D7" w:rsidP="00E83680">
      <w:pPr>
        <w:pStyle w:val="Nadpis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Právní forma:            </w:t>
      </w:r>
      <w:r w:rsidR="00E83680">
        <w:rPr>
          <w:rFonts w:ascii="Times New Roman" w:hAnsi="Times New Roman"/>
          <w:sz w:val="24"/>
        </w:rPr>
        <w:t>akciová společnost</w:t>
      </w:r>
    </w:p>
    <w:p w:rsidR="00E83680" w:rsidRDefault="00E83680" w:rsidP="00E83680"/>
    <w:p w:rsidR="005C67D7" w:rsidRDefault="00E83680" w:rsidP="00E83680">
      <w:pPr>
        <w:pStyle w:val="Zkladntext"/>
        <w:spacing w:line="300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</w:rPr>
        <w:t>Rozhodující předmět činnosti :</w:t>
      </w:r>
      <w:r>
        <w:rPr>
          <w:rFonts w:ascii="Times New Roman" w:hAnsi="Times New Roman"/>
          <w:spacing w:val="20"/>
        </w:rPr>
        <w:t xml:space="preserve">  </w:t>
      </w:r>
      <w:r w:rsidR="005C67D7" w:rsidRPr="005C67D7">
        <w:rPr>
          <w:rFonts w:ascii="Times New Roman" w:hAnsi="Times New Roman"/>
          <w:spacing w:val="20"/>
        </w:rPr>
        <w:t>pronájem nemovitostí, bytů a nebytových</w:t>
      </w:r>
      <w:r w:rsidR="005C67D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prostor</w:t>
      </w:r>
    </w:p>
    <w:p w:rsidR="00E83680" w:rsidRDefault="00E83680" w:rsidP="00E83680">
      <w:pPr>
        <w:pStyle w:val="Zkladntext"/>
        <w:spacing w:line="300" w:lineRule="atLeast"/>
        <w:rPr>
          <w:rFonts w:ascii="Times New Roman" w:hAnsi="Times New Roman"/>
          <w:spacing w:val="20"/>
        </w:rPr>
      </w:pPr>
    </w:p>
    <w:p w:rsidR="00E83680" w:rsidRDefault="00E83680" w:rsidP="00E83680">
      <w:r>
        <w:rPr>
          <w:b/>
        </w:rPr>
        <w:t>Datum vzniku obchodní společnosti</w:t>
      </w:r>
      <w:r>
        <w:t xml:space="preserve"> :   </w:t>
      </w:r>
      <w:r w:rsidR="0057685B">
        <w:t>1</w:t>
      </w:r>
      <w:r w:rsidR="00FE2283">
        <w:t xml:space="preserve">. </w:t>
      </w:r>
      <w:r w:rsidR="005C67D7">
        <w:t>listopadu</w:t>
      </w:r>
      <w:r w:rsidR="00FE2283">
        <w:t xml:space="preserve"> 200</w:t>
      </w:r>
      <w:r w:rsidR="0057685B">
        <w:t>6</w:t>
      </w:r>
    </w:p>
    <w:p w:rsidR="00FE2283" w:rsidRDefault="00FE2283" w:rsidP="00E83680">
      <w:pPr>
        <w:rPr>
          <w:b/>
        </w:rPr>
      </w:pPr>
    </w:p>
    <w:p w:rsidR="00E83680" w:rsidRDefault="00E83680" w:rsidP="00E83680"/>
    <w:p w:rsidR="00E83680" w:rsidRDefault="00E83680" w:rsidP="00E83680">
      <w:pPr>
        <w:pStyle w:val="Nadpis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 . Úvodní slovo</w:t>
      </w:r>
    </w:p>
    <w:p w:rsidR="00E83680" w:rsidRDefault="00E83680" w:rsidP="00E83680"/>
    <w:p w:rsidR="00E83680" w:rsidRDefault="00E83680" w:rsidP="00E83680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Předkládáme </w:t>
      </w:r>
      <w:r w:rsidR="00FE2283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ýroční zprávu Společnosti za rok </w:t>
      </w:r>
      <w:r w:rsidR="00447C67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. Z této výroční zprávy můžete čerpat veškeré informace o hospodaření naší firmy v roce </w:t>
      </w:r>
      <w:r w:rsidR="00447C67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, jejím vývoji v roce </w:t>
      </w:r>
      <w:r w:rsidR="00447C67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</w:t>
      </w:r>
      <w:r w:rsidR="00E43AA9">
        <w:rPr>
          <w:rFonts w:ascii="Times New Roman" w:hAnsi="Times New Roman"/>
        </w:rPr>
        <w:br/>
      </w:r>
      <w:r>
        <w:rPr>
          <w:rFonts w:ascii="Times New Roman" w:hAnsi="Times New Roman"/>
        </w:rPr>
        <w:t>a dalších plánech.</w:t>
      </w:r>
    </w:p>
    <w:p w:rsidR="00E83680" w:rsidRDefault="00E83680" w:rsidP="00E83680">
      <w:pPr>
        <w:pStyle w:val="Zkladntext"/>
        <w:ind w:firstLine="708"/>
        <w:jc w:val="both"/>
        <w:rPr>
          <w:rFonts w:ascii="Times New Roman" w:hAnsi="Times New Roman"/>
        </w:rPr>
      </w:pPr>
    </w:p>
    <w:p w:rsidR="00E83680" w:rsidRDefault="00E83680" w:rsidP="00E83680">
      <w:pPr>
        <w:spacing w:line="300" w:lineRule="atLeast"/>
        <w:ind w:firstLine="3"/>
        <w:jc w:val="center"/>
        <w:outlineLvl w:val="0"/>
        <w:rPr>
          <w:b/>
          <w:u w:val="single"/>
        </w:rPr>
      </w:pPr>
      <w:r>
        <w:rPr>
          <w:b/>
          <w:u w:val="single"/>
        </w:rPr>
        <w:t>II. Činnost Společnosti</w:t>
      </w:r>
    </w:p>
    <w:p w:rsidR="00E83680" w:rsidRDefault="00E83680" w:rsidP="00E83680">
      <w:pPr>
        <w:spacing w:line="300" w:lineRule="atLeast"/>
        <w:ind w:firstLine="3"/>
        <w:jc w:val="both"/>
        <w:rPr>
          <w:b/>
          <w:u w:val="single"/>
        </w:rPr>
      </w:pPr>
    </w:p>
    <w:p w:rsidR="00E83680" w:rsidRDefault="00E83680" w:rsidP="00E83680">
      <w:pPr>
        <w:spacing w:line="300" w:lineRule="atLeast"/>
        <w:ind w:firstLine="360"/>
        <w:jc w:val="both"/>
      </w:pPr>
      <w:r>
        <w:rPr>
          <w:b/>
        </w:rPr>
        <w:t xml:space="preserve">a)    </w:t>
      </w:r>
      <w:r>
        <w:rPr>
          <w:u w:val="single"/>
        </w:rPr>
        <w:t>vlastnictví Společnosti</w:t>
      </w:r>
    </w:p>
    <w:p w:rsidR="002D3B82" w:rsidRDefault="00E83680" w:rsidP="00A07AA3">
      <w:pPr>
        <w:spacing w:line="300" w:lineRule="atLeast"/>
        <w:ind w:left="705" w:hanging="345"/>
        <w:jc w:val="both"/>
      </w:pPr>
      <w:r>
        <w:t>-</w:t>
      </w:r>
      <w:r>
        <w:tab/>
        <w:t>k 31.12.</w:t>
      </w:r>
      <w:r w:rsidR="00447C67">
        <w:t>2014</w:t>
      </w:r>
      <w:r>
        <w:t xml:space="preserve"> Společnost ALEVEN </w:t>
      </w:r>
      <w:r w:rsidR="005C67D7">
        <w:t>Plazy,</w:t>
      </w:r>
      <w:r w:rsidR="0057685B">
        <w:t xml:space="preserve"> </w:t>
      </w:r>
      <w:r>
        <w:t>a.s., IČ: 27</w:t>
      </w:r>
      <w:r w:rsidR="0057685B">
        <w:t>616886</w:t>
      </w:r>
      <w:r>
        <w:t xml:space="preserve"> v kat. území </w:t>
      </w:r>
      <w:r w:rsidR="0057685B">
        <w:t>Plazy</w:t>
      </w:r>
      <w:r w:rsidR="00FE2283">
        <w:t xml:space="preserve"> </w:t>
      </w:r>
      <w:r>
        <w:t>vlastnila výrobní a skladovací haly</w:t>
      </w:r>
      <w:r w:rsidR="00FE2283">
        <w:t xml:space="preserve"> </w:t>
      </w:r>
      <w:r>
        <w:t xml:space="preserve">vše na pozemcích ve vlastnictví </w:t>
      </w:r>
      <w:r w:rsidR="00FE2283">
        <w:t>společnosti</w:t>
      </w:r>
    </w:p>
    <w:p w:rsidR="00E83680" w:rsidRDefault="00E83680" w:rsidP="00E83680">
      <w:pPr>
        <w:spacing w:line="300" w:lineRule="atLeast"/>
        <w:ind w:left="705" w:hanging="345"/>
        <w:jc w:val="both"/>
      </w:pPr>
    </w:p>
    <w:p w:rsidR="00E83680" w:rsidRDefault="00E83680" w:rsidP="00E83680">
      <w:pPr>
        <w:numPr>
          <w:ilvl w:val="0"/>
          <w:numId w:val="2"/>
        </w:numPr>
        <w:spacing w:line="300" w:lineRule="atLeast"/>
        <w:jc w:val="both"/>
        <w:rPr>
          <w:u w:val="single"/>
        </w:rPr>
      </w:pPr>
      <w:r>
        <w:rPr>
          <w:u w:val="single"/>
        </w:rPr>
        <w:t>významné investiční akce</w:t>
      </w:r>
    </w:p>
    <w:p w:rsidR="00FE2283" w:rsidRDefault="0057685B" w:rsidP="00FE2283">
      <w:pPr>
        <w:pStyle w:val="Odstavecseseznamem"/>
        <w:numPr>
          <w:ilvl w:val="0"/>
          <w:numId w:val="8"/>
        </w:numPr>
        <w:spacing w:line="300" w:lineRule="atLeast"/>
        <w:jc w:val="both"/>
      </w:pPr>
      <w:r>
        <w:t>stavba parkoviště</w:t>
      </w:r>
    </w:p>
    <w:p w:rsidR="00AF0066" w:rsidRDefault="0057685B" w:rsidP="00ED7E48">
      <w:pPr>
        <w:pStyle w:val="Odstavecseseznamem"/>
        <w:numPr>
          <w:ilvl w:val="0"/>
          <w:numId w:val="8"/>
        </w:numPr>
        <w:spacing w:line="300" w:lineRule="atLeast"/>
        <w:jc w:val="both"/>
      </w:pPr>
      <w:r>
        <w:t>zahájení stavby nového skladu</w:t>
      </w:r>
      <w:r w:rsidR="00E83680">
        <w:tab/>
      </w:r>
    </w:p>
    <w:p w:rsidR="00E83680" w:rsidRDefault="00E83680" w:rsidP="00E83680">
      <w:pPr>
        <w:spacing w:line="300" w:lineRule="atLeast"/>
        <w:ind w:left="360"/>
        <w:jc w:val="both"/>
      </w:pPr>
    </w:p>
    <w:p w:rsidR="00E83680" w:rsidRDefault="00E83680" w:rsidP="00E83680">
      <w:pPr>
        <w:numPr>
          <w:ilvl w:val="0"/>
          <w:numId w:val="2"/>
        </w:numPr>
        <w:spacing w:line="300" w:lineRule="atLeast"/>
        <w:jc w:val="both"/>
        <w:rPr>
          <w:u w:val="single"/>
        </w:rPr>
      </w:pPr>
      <w:r>
        <w:rPr>
          <w:u w:val="single"/>
        </w:rPr>
        <w:t>financování</w:t>
      </w:r>
    </w:p>
    <w:p w:rsidR="00AB324B" w:rsidRDefault="00E83680" w:rsidP="0057685B">
      <w:pPr>
        <w:spacing w:line="300" w:lineRule="atLeast"/>
        <w:ind w:left="705" w:hanging="345"/>
        <w:jc w:val="both"/>
      </w:pPr>
      <w:r>
        <w:t>-</w:t>
      </w:r>
      <w:r>
        <w:tab/>
      </w:r>
      <w:r w:rsidR="00D91BB5">
        <w:t>nákup pozemků byl financován z prostředků společnosti</w:t>
      </w:r>
    </w:p>
    <w:p w:rsidR="00E83680" w:rsidRDefault="00E83680" w:rsidP="00E83680">
      <w:pPr>
        <w:spacing w:line="300" w:lineRule="atLeast"/>
        <w:jc w:val="both"/>
      </w:pPr>
    </w:p>
    <w:p w:rsidR="00E83680" w:rsidRDefault="00E83680" w:rsidP="00E83680">
      <w:pPr>
        <w:numPr>
          <w:ilvl w:val="0"/>
          <w:numId w:val="2"/>
        </w:numPr>
        <w:spacing w:line="300" w:lineRule="atLeast"/>
        <w:jc w:val="both"/>
      </w:pPr>
      <w:r w:rsidRPr="002D3B82">
        <w:rPr>
          <w:u w:val="single"/>
        </w:rPr>
        <w:t>nájemní vztahy</w:t>
      </w:r>
    </w:p>
    <w:p w:rsidR="00E83680" w:rsidRDefault="00F67086" w:rsidP="00F67086">
      <w:pPr>
        <w:pStyle w:val="Odstavecseseznamem"/>
        <w:numPr>
          <w:ilvl w:val="0"/>
          <w:numId w:val="8"/>
        </w:numPr>
        <w:spacing w:line="300" w:lineRule="atLeast"/>
        <w:jc w:val="both"/>
      </w:pPr>
      <w:r>
        <w:t>výrobní a skladovací prostory jsou pronajímány společnosti R</w:t>
      </w:r>
      <w:r w:rsidR="0057685B">
        <w:t>ECTICEL Interiors CZ s.</w:t>
      </w:r>
      <w:r>
        <w:t>r.o</w:t>
      </w:r>
      <w:r w:rsidR="00E43AA9">
        <w:t>. a p</w:t>
      </w:r>
      <w:r w:rsidR="0057685B">
        <w:t>roseat Mladá Boleslav s.r.o.</w:t>
      </w:r>
    </w:p>
    <w:p w:rsidR="00F67086" w:rsidRDefault="00F67086" w:rsidP="00F67086">
      <w:pPr>
        <w:pStyle w:val="Odstavecseseznamem"/>
        <w:spacing w:line="300" w:lineRule="atLeast"/>
        <w:jc w:val="both"/>
      </w:pPr>
    </w:p>
    <w:p w:rsidR="00E83680" w:rsidRDefault="00E83680" w:rsidP="00E83680">
      <w:pPr>
        <w:numPr>
          <w:ilvl w:val="0"/>
          <w:numId w:val="4"/>
        </w:numPr>
        <w:spacing w:line="300" w:lineRule="atLeast"/>
        <w:jc w:val="both"/>
        <w:rPr>
          <w:bCs/>
          <w:u w:val="single"/>
        </w:rPr>
      </w:pPr>
      <w:r>
        <w:rPr>
          <w:bCs/>
          <w:u w:val="single"/>
        </w:rPr>
        <w:t>odměny členům představenstva a dozorčí rady</w:t>
      </w:r>
    </w:p>
    <w:p w:rsidR="00E83680" w:rsidRDefault="00E83680" w:rsidP="00E83680">
      <w:pPr>
        <w:numPr>
          <w:ilvl w:val="0"/>
          <w:numId w:val="3"/>
        </w:numPr>
        <w:spacing w:line="300" w:lineRule="atLeast"/>
        <w:jc w:val="both"/>
        <w:rPr>
          <w:bCs/>
          <w:szCs w:val="24"/>
        </w:rPr>
      </w:pPr>
      <w:r>
        <w:rPr>
          <w:bCs/>
          <w:szCs w:val="24"/>
        </w:rPr>
        <w:t>odměny nebyly vypláceny</w:t>
      </w:r>
    </w:p>
    <w:p w:rsidR="00E83680" w:rsidRDefault="00E83680" w:rsidP="00E83680">
      <w:pPr>
        <w:pStyle w:val="Nadpis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sz w:val="24"/>
          <w:u w:val="single"/>
        </w:rPr>
      </w:pPr>
    </w:p>
    <w:p w:rsidR="00F67086" w:rsidRDefault="00F67086" w:rsidP="00F67086"/>
    <w:p w:rsidR="00F67086" w:rsidRPr="00F67086" w:rsidRDefault="00F67086" w:rsidP="00F67086"/>
    <w:p w:rsidR="00E83680" w:rsidRDefault="00E83680" w:rsidP="00E83680">
      <w:pPr>
        <w:pStyle w:val="Nadpis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III. Hospodářské výsledky společnosti:</w:t>
      </w:r>
    </w:p>
    <w:p w:rsidR="00E83680" w:rsidRDefault="00E83680" w:rsidP="00E83680">
      <w:pPr>
        <w:outlineLvl w:val="0"/>
      </w:pPr>
      <w:r>
        <w:t xml:space="preserve">(v </w:t>
      </w:r>
      <w:r w:rsidR="002D3B82">
        <w:t>tis.</w:t>
      </w:r>
      <w:r>
        <w:t xml:space="preserve"> Kč):</w:t>
      </w:r>
    </w:p>
    <w:p w:rsidR="00E83680" w:rsidRDefault="00E83680" w:rsidP="00E83680">
      <w:pPr>
        <w:outlineLvl w:val="0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764"/>
        <w:gridCol w:w="2764"/>
      </w:tblGrid>
      <w:tr w:rsidR="00E83680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0" w:rsidRPr="00EA7CF6" w:rsidRDefault="00E83680">
            <w:pPr>
              <w:pStyle w:val="Nadpis4"/>
              <w:spacing w:line="240" w:lineRule="atLeast"/>
              <w:rPr>
                <w:lang w:eastAsia="en-US"/>
              </w:rPr>
            </w:pPr>
            <w:r w:rsidRPr="00EA7CF6">
              <w:rPr>
                <w:lang w:eastAsia="en-US"/>
              </w:rPr>
              <w:t>Aktiva celkem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0" w:rsidRPr="00EA7CF6" w:rsidRDefault="00714CBB" w:rsidP="00714CBB">
            <w:pPr>
              <w:spacing w:line="240" w:lineRule="atLeas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běžné</w:t>
            </w:r>
            <w:r w:rsidR="00E83680" w:rsidRPr="00EA7CF6">
              <w:rPr>
                <w:lang w:eastAsia="en-US"/>
              </w:rPr>
              <w:t xml:space="preserve"> účetní období               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0" w:rsidRPr="00714CBB" w:rsidRDefault="00714CBB" w:rsidP="00714CBB">
            <w:pPr>
              <w:spacing w:line="240" w:lineRule="atLeast"/>
              <w:outlineLvl w:val="0"/>
              <w:rPr>
                <w:lang w:eastAsia="en-US"/>
              </w:rPr>
            </w:pPr>
            <w:r w:rsidRPr="00714CBB">
              <w:rPr>
                <w:lang w:eastAsia="en-US"/>
              </w:rPr>
              <w:t>minulé</w:t>
            </w:r>
            <w:r w:rsidR="00E83680" w:rsidRPr="00714CBB">
              <w:rPr>
                <w:lang w:eastAsia="en-US"/>
              </w:rPr>
              <w:t xml:space="preserve"> účetní období</w:t>
            </w: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 xml:space="preserve">aktiva celkem netto:                                                   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714CBB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191 615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E37297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158 400</w:t>
            </w: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 xml:space="preserve">dlouhodobý majetek                             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157 741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149 914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dlouhodobý hmotný majetek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157 741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149 914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oběžná aktiva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33 874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8 486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časové rozlišení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CB4B31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CB4B31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0</w:t>
            </w:r>
          </w:p>
        </w:tc>
      </w:tr>
      <w:tr w:rsidR="008076CC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CC" w:rsidRPr="00EA7CF6" w:rsidRDefault="008076CC">
            <w:pPr>
              <w:spacing w:line="240" w:lineRule="atLeast"/>
              <w:outlineLvl w:val="0"/>
              <w:rPr>
                <w:b/>
                <w:bCs/>
                <w:lang w:eastAsia="en-US"/>
              </w:rPr>
            </w:pPr>
            <w:r w:rsidRPr="00EA7CF6">
              <w:rPr>
                <w:b/>
                <w:bCs/>
                <w:lang w:eastAsia="en-US"/>
              </w:rPr>
              <w:t>Pasiva celkem: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CC" w:rsidRPr="00714CBB" w:rsidRDefault="00714CBB" w:rsidP="00714CBB">
            <w:pPr>
              <w:spacing w:line="240" w:lineRule="atLeast"/>
              <w:outlineLvl w:val="0"/>
              <w:rPr>
                <w:lang w:eastAsia="en-US"/>
              </w:rPr>
            </w:pPr>
            <w:r w:rsidRPr="00714CBB">
              <w:rPr>
                <w:lang w:eastAsia="en-US"/>
              </w:rPr>
              <w:t>běžné</w:t>
            </w:r>
            <w:r w:rsidR="008076CC" w:rsidRPr="00714CBB">
              <w:rPr>
                <w:lang w:eastAsia="en-US"/>
              </w:rPr>
              <w:t xml:space="preserve"> účetní období               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CC" w:rsidRPr="00714CBB" w:rsidRDefault="00714CBB" w:rsidP="00714CBB">
            <w:pPr>
              <w:spacing w:line="240" w:lineRule="atLeast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minulé</w:t>
            </w:r>
            <w:r w:rsidR="008076CC" w:rsidRPr="00714CBB">
              <w:rPr>
                <w:lang w:eastAsia="en-US"/>
              </w:rPr>
              <w:t xml:space="preserve"> účetní období</w:t>
            </w: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pasiva celkem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191 615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158 400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vlastní kapitál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174 090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145 967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výsledky hospodaření minulých let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143 967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122 914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výsledek hospodaření běžného období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28 123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20 653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 w:rsidRPr="00EA7CF6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cizí zdroje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14 127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6E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9 202</w:t>
            </w:r>
          </w:p>
          <w:p w:rsidR="00C07E5F" w:rsidRPr="00CE356E" w:rsidRDefault="00C07E5F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</w:p>
        </w:tc>
      </w:tr>
      <w:tr w:rsidR="00C07E5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EA7CF6" w:rsidRDefault="00C07E5F">
            <w:pPr>
              <w:spacing w:line="240" w:lineRule="atLeast"/>
              <w:outlineLvl w:val="0"/>
              <w:rPr>
                <w:lang w:eastAsia="en-US"/>
              </w:rPr>
            </w:pPr>
            <w:r w:rsidRPr="00EA7CF6">
              <w:rPr>
                <w:lang w:eastAsia="en-US"/>
              </w:rPr>
              <w:t>časové rozlišení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3 398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5F" w:rsidRPr="00CE356E" w:rsidRDefault="00CE356E" w:rsidP="00CE356E">
            <w:pPr>
              <w:spacing w:line="240" w:lineRule="atLeast"/>
              <w:jc w:val="right"/>
              <w:outlineLvl w:val="0"/>
              <w:rPr>
                <w:lang w:eastAsia="en-US"/>
              </w:rPr>
            </w:pPr>
            <w:r w:rsidRPr="00CE356E">
              <w:rPr>
                <w:lang w:eastAsia="en-US"/>
              </w:rPr>
              <w:t>3 231</w:t>
            </w:r>
          </w:p>
        </w:tc>
      </w:tr>
    </w:tbl>
    <w:p w:rsidR="00E83680" w:rsidRDefault="00E83680" w:rsidP="00E83680">
      <w:pPr>
        <w:jc w:val="both"/>
        <w:outlineLvl w:val="0"/>
      </w:pPr>
    </w:p>
    <w:p w:rsidR="00E83680" w:rsidRDefault="00E83680" w:rsidP="00E83680">
      <w:pPr>
        <w:jc w:val="both"/>
        <w:outlineLvl w:val="0"/>
        <w:rPr>
          <w:szCs w:val="24"/>
        </w:rPr>
      </w:pPr>
      <w:r>
        <w:tab/>
      </w:r>
      <w:r w:rsidRPr="00EA7CF6">
        <w:t xml:space="preserve">Údaje byly čerpány z účetní uzávěrky </w:t>
      </w:r>
      <w:r w:rsidR="009E7568">
        <w:t>sestavené</w:t>
      </w:r>
      <w:r w:rsidRPr="00EA7CF6">
        <w:t xml:space="preserve"> </w:t>
      </w:r>
      <w:r w:rsidRPr="00437BB9">
        <w:t xml:space="preserve">dne </w:t>
      </w:r>
      <w:r w:rsidR="00023FF9" w:rsidRPr="00437BB9">
        <w:t>1</w:t>
      </w:r>
      <w:r w:rsidR="00447C67" w:rsidRPr="00437BB9">
        <w:t>6</w:t>
      </w:r>
      <w:r w:rsidR="000B256E" w:rsidRPr="00437BB9">
        <w:t>.</w:t>
      </w:r>
      <w:r w:rsidR="005833BC" w:rsidRPr="00437BB9">
        <w:t>4</w:t>
      </w:r>
      <w:r w:rsidR="000B256E" w:rsidRPr="00437BB9">
        <w:t>.</w:t>
      </w:r>
      <w:r w:rsidR="00447C67" w:rsidRPr="00437BB9">
        <w:t>2015</w:t>
      </w:r>
      <w:r w:rsidRPr="00437BB9">
        <w:t>, audit</w:t>
      </w:r>
      <w:r w:rsidRPr="00EA7CF6">
        <w:t xml:space="preserve"> této uzávěrky byl proveden</w:t>
      </w:r>
      <w:r w:rsidR="00447C67">
        <w:t xml:space="preserve"> auditorskou společností A.A.T. spol. s r.o.,</w:t>
      </w:r>
      <w:r w:rsidRPr="00EA7CF6">
        <w:t xml:space="preserve"> auditorem Ing. </w:t>
      </w:r>
      <w:r w:rsidR="00A52754" w:rsidRPr="00EA7CF6">
        <w:t>Janem Karpašem</w:t>
      </w:r>
      <w:r w:rsidR="00437BB9">
        <w:t>, o</w:t>
      </w:r>
      <w:r w:rsidR="00A52754" w:rsidRPr="00EA7CF6">
        <w:t>právnění</w:t>
      </w:r>
      <w:r w:rsidRPr="00EA7CF6">
        <w:t xml:space="preserve"> č. </w:t>
      </w:r>
      <w:r w:rsidR="00A52754" w:rsidRPr="00EA7CF6">
        <w:t>2220</w:t>
      </w:r>
      <w:r w:rsidRPr="00EA7CF6">
        <w:t>,</w:t>
      </w:r>
      <w:r w:rsidR="00EA7CF6" w:rsidRPr="00EA7CF6">
        <w:t xml:space="preserve"> Za Zámečkem 744/11, Praha 5, Jinonice,</w:t>
      </w:r>
      <w:r w:rsidR="00EA7CF6" w:rsidRPr="00EA7CF6">
        <w:rPr>
          <w:szCs w:val="24"/>
        </w:rPr>
        <w:t xml:space="preserve"> výrok bez výhrad.</w:t>
      </w:r>
      <w:r w:rsidRPr="00EA7CF6">
        <w:rPr>
          <w:szCs w:val="24"/>
        </w:rPr>
        <w:t xml:space="preserve"> Výrok auditora je nedílnou součástí této výroční zprávy.</w:t>
      </w:r>
    </w:p>
    <w:p w:rsidR="00E83680" w:rsidRDefault="00E83680" w:rsidP="00E83680">
      <w:pPr>
        <w:pStyle w:val="Zkladntextodsazen"/>
        <w:spacing w:line="340" w:lineRule="atLeast"/>
      </w:pPr>
    </w:p>
    <w:p w:rsidR="00754331" w:rsidRDefault="00754331" w:rsidP="00E83680">
      <w:pPr>
        <w:pStyle w:val="Nadpis2"/>
        <w:jc w:val="center"/>
        <w:rPr>
          <w:rFonts w:ascii="Times New Roman" w:hAnsi="Times New Roman"/>
          <w:sz w:val="24"/>
          <w:u w:val="single"/>
        </w:rPr>
      </w:pPr>
    </w:p>
    <w:p w:rsidR="00E83680" w:rsidRDefault="00E83680" w:rsidP="00E83680">
      <w:pPr>
        <w:pStyle w:val="Nadpis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IV.  Návrh na rozdělení zisku roku </w:t>
      </w:r>
      <w:r w:rsidR="00447C67">
        <w:rPr>
          <w:rFonts w:ascii="Times New Roman" w:hAnsi="Times New Roman"/>
          <w:sz w:val="24"/>
          <w:u w:val="single"/>
        </w:rPr>
        <w:t>2014</w:t>
      </w:r>
    </w:p>
    <w:p w:rsidR="00E83680" w:rsidRDefault="00E83680" w:rsidP="00E83680">
      <w:pPr>
        <w:pStyle w:val="Zkladntextodsazen"/>
      </w:pPr>
    </w:p>
    <w:p w:rsidR="00E83680" w:rsidRDefault="00E83680" w:rsidP="00E83680">
      <w:pPr>
        <w:pStyle w:val="Zkladntextodsazen"/>
      </w:pPr>
      <w:r w:rsidRPr="00447C67">
        <w:t>Vzhledem k</w:t>
      </w:r>
      <w:r w:rsidR="00F67086" w:rsidRPr="00447C67">
        <w:t> </w:t>
      </w:r>
      <w:r w:rsidRPr="00447C67">
        <w:t xml:space="preserve"> investiční činnosti nebude Společnost za rok </w:t>
      </w:r>
      <w:r w:rsidR="00447C67" w:rsidRPr="00447C67">
        <w:t>2014</w:t>
      </w:r>
      <w:r w:rsidRPr="00447C67">
        <w:t xml:space="preserve"> zisk dělit</w:t>
      </w:r>
      <w:r w:rsidR="00F67086" w:rsidRPr="00447C67">
        <w:t>.</w:t>
      </w:r>
      <w:r>
        <w:t xml:space="preserve"> </w:t>
      </w:r>
    </w:p>
    <w:p w:rsidR="00E83680" w:rsidRDefault="00E83680" w:rsidP="00E83680">
      <w:pPr>
        <w:pStyle w:val="Zkladntextodsazen"/>
        <w:rPr>
          <w:u w:val="single"/>
        </w:rPr>
      </w:pPr>
    </w:p>
    <w:p w:rsidR="00F67086" w:rsidRDefault="00F67086" w:rsidP="00E83680">
      <w:pPr>
        <w:pStyle w:val="Zkladntextodsazen"/>
        <w:rPr>
          <w:u w:val="single"/>
        </w:rPr>
      </w:pPr>
    </w:p>
    <w:p w:rsidR="00E83680" w:rsidRDefault="00E83680" w:rsidP="00E83680">
      <w:pPr>
        <w:pStyle w:val="Nadpis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V.  Skutečnosti,</w:t>
      </w:r>
      <w:r w:rsidR="000B256E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které nastaly až po konci rozvahového dne</w:t>
      </w:r>
    </w:p>
    <w:p w:rsidR="00E83680" w:rsidRDefault="0057685B" w:rsidP="00E83680">
      <w:pPr>
        <w:pStyle w:val="Zkladntextodsazen"/>
        <w:spacing w:line="300" w:lineRule="atLeast"/>
        <w:rPr>
          <w:rStyle w:val="preformatted"/>
        </w:rPr>
      </w:pPr>
      <w:r>
        <w:rPr>
          <w:rStyle w:val="preformatted"/>
        </w:rPr>
        <w:t xml:space="preserve">Rozhodnutí valné hromady ze dne 31.3.2015 Valná hromada rozhoduje o zvýšení základního kapitálu společnosti o částku 30.000.000,-Kč (slovy: třicet milionů korun českých) - tedy z částky 2.000.000,-Kč (slovy: dva miliony korun českých) na částku 32.000.000,-Kč (slovy: třicet dva miliony korun českých) upsáním nových akcií, jejichž emisní kurs se splácí v penězích s tím, že upisování nad ani pod částku navrhovaného zvýšení základního kapitálu se nepřipouští. Základní kapitál bude zvýšen upsáním dvou set (200) kusů nových listinných kmenových akcií na jméno, každá o jmenovitě hodnotě 150.000,-Kč (slovy: jedno sto padesát tisíc korun českých), přičemž emisní kurs každé nové akcie se rovná její jmenovité hodnotě a nové akcie nebudou přijaty k obchodování na evropském regulovaném trhu. S nově upisovanými akciemi nebudou spojena žádná zvláštní práva, budou s nimi spojena stejná práva jako s dosud </w:t>
      </w:r>
      <w:r>
        <w:rPr>
          <w:rStyle w:val="preformatted"/>
        </w:rPr>
        <w:lastRenderedPageBreak/>
        <w:t>vydanými akciemi. Každý akcionář společnosti má přednostní právo upsat část nových akcií společnosti upisovaných ke zvýšení základního kapitálu v rozsahu jeho podílu, přičemž každý akcionář společnosti má přednostní právo na upsání i těch akcií, které neupsal jiný akcionář společnosti a tím nevyužil svého přednostního práva na úpis nových akcií. Upisování nových akcií proběhne s využitím přednostního práva ve dvou kolech. Akcie, které nebudou upsány s využitím přednostního práva, budou všechny nabídnuty k upsání určenému zájemci, kterým je Ing. Jiří Chlistovský, nar. 30.10.1963. Žádné akcie nebudou upisovány na základě veřejné nabídky. Upisovatel/é splatí emisní kurs nových akcií v penězích na účet č. 182548631/0300, vedený u Československé obchodní banky a.s., a to sice 100 % (slovy: sto procent) emisního kursu akcií nejpozději do třiceti (30) dnů po úpisu nových akcií. Údaje pro využití přednostního práva na upisování akcií v prvním kole jsou následující: 1) místem pro vykonání přednostního práva na upsání nových akcií je pracoviště Advokátní kanceláře Bedrna a společníci, na adrese Praha 6, Eliášova 92/21, 2) lhůta pro vykonání přednostního práva v prvním kole upisování činí dva (2) týdny a začne každému z akcionářů běžet dnem následujícím po dni, kdy příslušný akcionář obdrží informaci o přednostním právu akcionářů podle § 485 zákona o obchodních korporacích, zaslanou na adresu sídla nebo bydliště uvedenou v seznamu akcionářů; v případě, že si akcionář zásilku nevyzvedne a zásilka bude vrácena společnosti jako nedoručená, má se za to, že k doručení informace o přednostním právu akcionářů došlo dnem uložení zásilky na poště k vyzvednutí; informace o přednostním právu akcionářů v prvním kole upisování podle § 485 zákona o obchodních korporacích bude společností také zveřejněna v Obchodním věstníku, 3) na 1 kus dosavadní akcie o jmenovité hodnotě 10.000,-Kč (slovy: deset tisíc korun českých) lze upsat 1 kus nové akcie o jmenovité hodnotě 150.000,-Kč (slovy: jedno sto padesát tisíc korun českých), 4) s využitím přednostního práva se upisuje všech 200 kusů kmenových akcií na jméno každá ve jmenovité hodnotě 150.000,-Kč (slovy: jedno sto padesát tisíc korun českých) v listinné podobě, 5) upisovat lze pouze celé akcie, 6) emisní kurs každé akcie se rovná její jmenovité hodnotě. Každý akcionář společnosti má přednostní právo na upsání i těch akcií, které neupsal jiný akcionář společnosti v prvním kole upisování a tím nevyužil svého přednostního práva na úpis nových akcií. Tyto akcie budou upsány v druhém kole upisování. Údaje pro využití přednostního práva na upisování akcií v případném druhém kole jsou následující: 1) místem pro vykonání přednostního práva na upsání nových akcií je pracoviště Advokátní kanceláře Bedrna a společníci, na adrese Praha 6, Eliášova 92/21, 2) lhůta pro vykonání upsání nových akcií činí dva (2) týdny a začíná běžet ode dne 27.04.2015 (slovy: dvacátého sedmého dubna roku dvoutisícího patnáctého), 3) na 1 kus dosavadní akcie o jmenovité hodnotě 10.000,-Kč (slovy: deset tisíc korun českých) lze upsat 1 kus nové akcie o jmenovité hodnotě 150.000,-Kč (slovy: jedno sto padesát tisíc korun českých), 4) předmětem úpisu budou akcie, které nebyly upsané v prvním kole upisovaní s možností využití přednostního práva, 5) upisovat lze pouze celé akcie, 6) emisní kurs každé akcie se rovná její jmenovité hodnotě. Údaje bez využití přednostního práva určeným zájemcem jsou následující: 1)místem pro upsání nových akcií je pracoviště Advokátní kanceláře Bedrna a společníci, na adrese Praha 6, Eliášova 92/21, 2)lhůta pro upsání nových akcií činí dva (2) týdny, přičemž prvním dnem této lhůty bude první den, následující po uplynutí lhůty pro upsání akcií s využitím přednostního práva. Upisovateli bude počátek této lhůty oznámen písemně, 3)emisní kurs takto upisovaných akcií se rovná jejich jmenovité hodnotě a činí 150.000,-Kč (slovy: jedno sto padesát tisíc korun českých) na jednu akcii a splácí se v penězích.</w:t>
      </w:r>
    </w:p>
    <w:p w:rsidR="0057685B" w:rsidRDefault="0057685B" w:rsidP="00E83680">
      <w:pPr>
        <w:pStyle w:val="Zkladntextodsazen"/>
        <w:spacing w:line="300" w:lineRule="atLeast"/>
      </w:pPr>
    </w:p>
    <w:p w:rsidR="00E83680" w:rsidRDefault="00E83680" w:rsidP="00E83680">
      <w:pPr>
        <w:pStyle w:val="Nadpis2"/>
        <w:jc w:val="center"/>
        <w:rPr>
          <w:rFonts w:ascii="Times New Roman" w:hAnsi="Times New Roman"/>
          <w:b w:val="0"/>
          <w:bCs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VI. Informace požadované podle zvláštních právních  předpisů</w:t>
      </w:r>
    </w:p>
    <w:p w:rsidR="00E83680" w:rsidRDefault="00E83680" w:rsidP="00E83680">
      <w:pPr>
        <w:pStyle w:val="Nadpis4"/>
        <w:ind w:firstLine="708"/>
        <w:jc w:val="both"/>
        <w:rPr>
          <w:b w:val="0"/>
          <w:bCs w:val="0"/>
        </w:rPr>
      </w:pPr>
    </w:p>
    <w:p w:rsidR="001D0955" w:rsidRPr="00CE356E" w:rsidRDefault="001D0955" w:rsidP="00CE356E">
      <w:pPr>
        <w:pStyle w:val="Nadpis4"/>
        <w:ind w:firstLine="708"/>
        <w:jc w:val="both"/>
        <w:rPr>
          <w:b w:val="0"/>
          <w:bCs w:val="0"/>
        </w:rPr>
      </w:pPr>
      <w:r w:rsidRPr="00CE356E">
        <w:rPr>
          <w:b w:val="0"/>
          <w:bCs w:val="0"/>
        </w:rPr>
        <w:t xml:space="preserve">Statutární orgán společnosti jako ovládané osoby vyhotovil dle ustanovení § 82 zákona obchodních korporacích „Zprávu o vztazích mezi propojenými osobami“. Dle § 84 odst. 2) </w:t>
      </w:r>
      <w:r w:rsidRPr="00CE356E">
        <w:rPr>
          <w:b w:val="0"/>
          <w:bCs w:val="0"/>
        </w:rPr>
        <w:lastRenderedPageBreak/>
        <w:t>zákona o obchodních korporacích se „Zpráva o vztazích mezi propojenými osobami“ připojí k výroční zprávě.</w:t>
      </w:r>
    </w:p>
    <w:p w:rsidR="00E83680" w:rsidRDefault="00E83680" w:rsidP="00E83680">
      <w:pPr>
        <w:jc w:val="both"/>
      </w:pPr>
    </w:p>
    <w:p w:rsidR="00E83680" w:rsidRDefault="00E83680" w:rsidP="00E83680">
      <w:pPr>
        <w:pStyle w:val="Nadpis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VII. Informace v rozsahu účetní závěrky</w:t>
      </w:r>
    </w:p>
    <w:p w:rsidR="00E83680" w:rsidRDefault="00E83680" w:rsidP="00E83680">
      <w:pPr>
        <w:pStyle w:val="Nadpis4"/>
        <w:ind w:firstLine="708"/>
        <w:jc w:val="both"/>
        <w:rPr>
          <w:b w:val="0"/>
          <w:bCs w:val="0"/>
        </w:rPr>
      </w:pPr>
    </w:p>
    <w:p w:rsidR="00E83680" w:rsidRDefault="00E83680" w:rsidP="00E83680">
      <w:pPr>
        <w:pStyle w:val="Nadpis4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Nedílnou součástí výroční zprávy Společnosti za rok </w:t>
      </w:r>
      <w:r w:rsidR="00447C67">
        <w:rPr>
          <w:b w:val="0"/>
          <w:bCs w:val="0"/>
        </w:rPr>
        <w:t>2014</w:t>
      </w:r>
      <w:r>
        <w:rPr>
          <w:b w:val="0"/>
          <w:bCs w:val="0"/>
        </w:rPr>
        <w:t xml:space="preserve"> jsou informace v rozsahu účetní závěrky,obsažené ve zprávě o auditu roční účetní závěrky k 31.12.</w:t>
      </w:r>
      <w:r w:rsidR="00447C67">
        <w:rPr>
          <w:b w:val="0"/>
          <w:bCs w:val="0"/>
        </w:rPr>
        <w:t>2014</w:t>
      </w:r>
      <w:r>
        <w:rPr>
          <w:b w:val="0"/>
          <w:bCs w:val="0"/>
        </w:rPr>
        <w:t>.</w:t>
      </w:r>
    </w:p>
    <w:p w:rsidR="00E83680" w:rsidRDefault="00E83680" w:rsidP="00E83680">
      <w:pPr>
        <w:pStyle w:val="Nadpis2"/>
        <w:rPr>
          <w:rFonts w:ascii="Times New Roman" w:hAnsi="Times New Roman"/>
          <w:sz w:val="24"/>
        </w:rPr>
      </w:pPr>
    </w:p>
    <w:p w:rsidR="00E83680" w:rsidRDefault="00E83680" w:rsidP="00E83680">
      <w:pPr>
        <w:outlineLvl w:val="0"/>
      </w:pPr>
      <w:r>
        <w:t>V </w:t>
      </w:r>
      <w:r w:rsidR="00C07E5F">
        <w:t>Plazech</w:t>
      </w:r>
      <w:r>
        <w:t xml:space="preserve"> </w:t>
      </w:r>
      <w:r w:rsidRPr="001C0BD6">
        <w:t xml:space="preserve">dne </w:t>
      </w:r>
      <w:r w:rsidR="009E7568" w:rsidRPr="001C0BD6">
        <w:t>2</w:t>
      </w:r>
      <w:r w:rsidR="00CE356E" w:rsidRPr="001C0BD6">
        <w:t>1</w:t>
      </w:r>
      <w:r w:rsidR="001C0BD6" w:rsidRPr="001C0BD6">
        <w:t>.</w:t>
      </w:r>
      <w:r w:rsidR="00CE356E" w:rsidRPr="001C0BD6">
        <w:t xml:space="preserve"> dubna 2015</w:t>
      </w:r>
    </w:p>
    <w:p w:rsidR="00AB3CB2" w:rsidRDefault="00F67086" w:rsidP="00E83680">
      <w:r>
        <w:t>Zpracoval : Ing. Jiří Chlistovský</w:t>
      </w:r>
    </w:p>
    <w:p w:rsidR="00AB3CB2" w:rsidRDefault="00AB3CB2" w:rsidP="00E83680"/>
    <w:p w:rsidR="00AB3CB2" w:rsidRDefault="00AB3CB2" w:rsidP="00E83680"/>
    <w:p w:rsidR="00E83680" w:rsidRDefault="00E83680" w:rsidP="00E83680"/>
    <w:p w:rsidR="00C43813" w:rsidRDefault="00C43813" w:rsidP="00E83680"/>
    <w:p w:rsidR="00C43813" w:rsidRDefault="00C43813" w:rsidP="00E83680"/>
    <w:p w:rsidR="00C43813" w:rsidRDefault="00C43813" w:rsidP="00E83680"/>
    <w:p w:rsidR="00C43813" w:rsidRDefault="00C43813" w:rsidP="00E83680"/>
    <w:p w:rsidR="00C43813" w:rsidRDefault="00C43813" w:rsidP="00E83680"/>
    <w:p w:rsidR="00E83680" w:rsidRDefault="00E83680" w:rsidP="00E83680"/>
    <w:p w:rsidR="00E83680" w:rsidRDefault="00E83680" w:rsidP="00E83680">
      <w:r>
        <w:t>……………….............................</w:t>
      </w:r>
    </w:p>
    <w:p w:rsidR="00E83680" w:rsidRDefault="00E83680" w:rsidP="00E83680">
      <w:r>
        <w:t>Dipl.Ing. Jiří Chlistovský</w:t>
      </w:r>
    </w:p>
    <w:p w:rsidR="00E83680" w:rsidRDefault="00E83680" w:rsidP="00E83680">
      <w:r>
        <w:t>předseda představenstva</w:t>
      </w:r>
    </w:p>
    <w:p w:rsidR="00E83680" w:rsidRDefault="00E83680" w:rsidP="00E83680">
      <w:r>
        <w:t xml:space="preserve">                                                                                         </w:t>
      </w:r>
    </w:p>
    <w:p w:rsidR="00E83680" w:rsidRDefault="00E83680" w:rsidP="00E83680"/>
    <w:sectPr w:rsidR="00E83680" w:rsidSect="002D3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FE" w:rsidRDefault="00D71EFE" w:rsidP="00305858">
      <w:r>
        <w:separator/>
      </w:r>
    </w:p>
  </w:endnote>
  <w:endnote w:type="continuationSeparator" w:id="0">
    <w:p w:rsidR="00D71EFE" w:rsidRDefault="00D71EFE" w:rsidP="0030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FE" w:rsidRDefault="00D71EFE" w:rsidP="00305858">
      <w:r>
        <w:separator/>
      </w:r>
    </w:p>
  </w:footnote>
  <w:footnote w:type="continuationSeparator" w:id="0">
    <w:p w:rsidR="00D71EFE" w:rsidRDefault="00D71EFE" w:rsidP="0030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hlav"/>
      <w:jc w:val="center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6F2F5F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6F2F5F">
      <w:rPr>
        <w:b/>
        <w:noProof/>
      </w:rPr>
      <w:t>4</w:t>
    </w:r>
    <w:r>
      <w:rPr>
        <w:b/>
        <w:szCs w:val="24"/>
      </w:rPr>
      <w:fldChar w:fldCharType="end"/>
    </w:r>
  </w:p>
  <w:p w:rsidR="0057685B" w:rsidRDefault="005768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436"/>
    <w:multiLevelType w:val="multilevel"/>
    <w:tmpl w:val="604230E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24FB9"/>
    <w:multiLevelType w:val="singleLevel"/>
    <w:tmpl w:val="4D065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36B74BBC"/>
    <w:multiLevelType w:val="hybridMultilevel"/>
    <w:tmpl w:val="164EF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93BB4"/>
    <w:multiLevelType w:val="hybridMultilevel"/>
    <w:tmpl w:val="FE34DAA4"/>
    <w:lvl w:ilvl="0" w:tplc="C1E04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D6DBA"/>
    <w:multiLevelType w:val="singleLevel"/>
    <w:tmpl w:val="997CBE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49AE4C4F"/>
    <w:multiLevelType w:val="singleLevel"/>
    <w:tmpl w:val="6E80971A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7AFD0A87"/>
    <w:multiLevelType w:val="hybridMultilevel"/>
    <w:tmpl w:val="61F67BBE"/>
    <w:lvl w:ilvl="0" w:tplc="7C4E61CC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9006E"/>
    <w:multiLevelType w:val="hybridMultilevel"/>
    <w:tmpl w:val="FC40E678"/>
    <w:lvl w:ilvl="0" w:tplc="9740EC1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80"/>
    <w:rsid w:val="000019B3"/>
    <w:rsid w:val="00001AC2"/>
    <w:rsid w:val="00023FF9"/>
    <w:rsid w:val="000746F4"/>
    <w:rsid w:val="000A2F9C"/>
    <w:rsid w:val="000A7999"/>
    <w:rsid w:val="000B256E"/>
    <w:rsid w:val="000C0F27"/>
    <w:rsid w:val="0010355E"/>
    <w:rsid w:val="001048FB"/>
    <w:rsid w:val="00121508"/>
    <w:rsid w:val="0012429A"/>
    <w:rsid w:val="00136CAD"/>
    <w:rsid w:val="00145105"/>
    <w:rsid w:val="00167BD1"/>
    <w:rsid w:val="00177CD0"/>
    <w:rsid w:val="001C0BD6"/>
    <w:rsid w:val="001D0955"/>
    <w:rsid w:val="001E2631"/>
    <w:rsid w:val="00295794"/>
    <w:rsid w:val="002B5112"/>
    <w:rsid w:val="002D3B82"/>
    <w:rsid w:val="002F7A59"/>
    <w:rsid w:val="00305858"/>
    <w:rsid w:val="003249B5"/>
    <w:rsid w:val="00332223"/>
    <w:rsid w:val="00355301"/>
    <w:rsid w:val="003B7137"/>
    <w:rsid w:val="003F5AFC"/>
    <w:rsid w:val="003F5CFD"/>
    <w:rsid w:val="00437BB9"/>
    <w:rsid w:val="00447C67"/>
    <w:rsid w:val="004A3981"/>
    <w:rsid w:val="004E5B68"/>
    <w:rsid w:val="004E6FDC"/>
    <w:rsid w:val="00560599"/>
    <w:rsid w:val="0057685B"/>
    <w:rsid w:val="005833BC"/>
    <w:rsid w:val="005A4E9A"/>
    <w:rsid w:val="005C67D7"/>
    <w:rsid w:val="0062064B"/>
    <w:rsid w:val="006E1127"/>
    <w:rsid w:val="006F2F5F"/>
    <w:rsid w:val="00700484"/>
    <w:rsid w:val="00701B91"/>
    <w:rsid w:val="00706570"/>
    <w:rsid w:val="00711A9F"/>
    <w:rsid w:val="00714CBB"/>
    <w:rsid w:val="00754331"/>
    <w:rsid w:val="007B127A"/>
    <w:rsid w:val="007C3488"/>
    <w:rsid w:val="007F4BA7"/>
    <w:rsid w:val="008076CC"/>
    <w:rsid w:val="00853ADA"/>
    <w:rsid w:val="008C7911"/>
    <w:rsid w:val="009206B5"/>
    <w:rsid w:val="00924CA0"/>
    <w:rsid w:val="00944E5C"/>
    <w:rsid w:val="00954BE3"/>
    <w:rsid w:val="009B4491"/>
    <w:rsid w:val="009E7568"/>
    <w:rsid w:val="009F2784"/>
    <w:rsid w:val="00A03343"/>
    <w:rsid w:val="00A07AA3"/>
    <w:rsid w:val="00A26C46"/>
    <w:rsid w:val="00A52754"/>
    <w:rsid w:val="00A973E3"/>
    <w:rsid w:val="00AB324B"/>
    <w:rsid w:val="00AB3CB2"/>
    <w:rsid w:val="00AB7895"/>
    <w:rsid w:val="00AF0066"/>
    <w:rsid w:val="00B01C96"/>
    <w:rsid w:val="00B81D60"/>
    <w:rsid w:val="00B96B0C"/>
    <w:rsid w:val="00B97A92"/>
    <w:rsid w:val="00BC1938"/>
    <w:rsid w:val="00C07E5F"/>
    <w:rsid w:val="00C43813"/>
    <w:rsid w:val="00C553E6"/>
    <w:rsid w:val="00C71398"/>
    <w:rsid w:val="00CA5EE4"/>
    <w:rsid w:val="00CA6E57"/>
    <w:rsid w:val="00CB4B31"/>
    <w:rsid w:val="00CB5BED"/>
    <w:rsid w:val="00CD24F6"/>
    <w:rsid w:val="00CD7AE4"/>
    <w:rsid w:val="00CE356E"/>
    <w:rsid w:val="00D078A3"/>
    <w:rsid w:val="00D160B8"/>
    <w:rsid w:val="00D60670"/>
    <w:rsid w:val="00D71EFE"/>
    <w:rsid w:val="00D91BB5"/>
    <w:rsid w:val="00E14E82"/>
    <w:rsid w:val="00E37297"/>
    <w:rsid w:val="00E43AA9"/>
    <w:rsid w:val="00E8224D"/>
    <w:rsid w:val="00E83680"/>
    <w:rsid w:val="00EA312F"/>
    <w:rsid w:val="00EA46E6"/>
    <w:rsid w:val="00EA7CF6"/>
    <w:rsid w:val="00EE05C0"/>
    <w:rsid w:val="00F34CAA"/>
    <w:rsid w:val="00F67086"/>
    <w:rsid w:val="00FD260A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680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E83680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qFormat/>
    <w:rsid w:val="00E83680"/>
    <w:pPr>
      <w:keepNext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E83680"/>
    <w:pPr>
      <w:keepNext/>
      <w:numPr>
        <w:numId w:val="1"/>
      </w:numPr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E83680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2784"/>
    <w:rPr>
      <w:sz w:val="32"/>
    </w:rPr>
  </w:style>
  <w:style w:type="character" w:customStyle="1" w:styleId="NzevChar">
    <w:name w:val="Název Char"/>
    <w:basedOn w:val="Standardnpsmoodstavce"/>
    <w:link w:val="Nzev"/>
    <w:rsid w:val="009F2784"/>
    <w:rPr>
      <w:rFonts w:eastAsia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8368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83680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368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83680"/>
    <w:rPr>
      <w:rFonts w:eastAsia="Times New Roman" w:cs="Times New Roman"/>
      <w:b/>
      <w:bCs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83680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E83680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8368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3680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368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0C0F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C0F27"/>
    <w:rPr>
      <w:rFonts w:eastAsia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05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858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305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5858"/>
    <w:rPr>
      <w:rFonts w:eastAsia="Times New Roman"/>
      <w:sz w:val="24"/>
    </w:rPr>
  </w:style>
  <w:style w:type="character" w:customStyle="1" w:styleId="preformatted">
    <w:name w:val="preformatted"/>
    <w:basedOn w:val="Standardnpsmoodstavce"/>
    <w:rsid w:val="0057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680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E83680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qFormat/>
    <w:rsid w:val="00E83680"/>
    <w:pPr>
      <w:keepNext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E83680"/>
    <w:pPr>
      <w:keepNext/>
      <w:numPr>
        <w:numId w:val="1"/>
      </w:numPr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E83680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2784"/>
    <w:rPr>
      <w:sz w:val="32"/>
    </w:rPr>
  </w:style>
  <w:style w:type="character" w:customStyle="1" w:styleId="NzevChar">
    <w:name w:val="Název Char"/>
    <w:basedOn w:val="Standardnpsmoodstavce"/>
    <w:link w:val="Nzev"/>
    <w:rsid w:val="009F2784"/>
    <w:rPr>
      <w:rFonts w:eastAsia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8368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83680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368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83680"/>
    <w:rPr>
      <w:rFonts w:eastAsia="Times New Roman" w:cs="Times New Roman"/>
      <w:b/>
      <w:bCs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83680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E83680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8368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3680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368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0C0F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C0F27"/>
    <w:rPr>
      <w:rFonts w:eastAsia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05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858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305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5858"/>
    <w:rPr>
      <w:rFonts w:eastAsia="Times New Roman"/>
      <w:sz w:val="24"/>
    </w:rPr>
  </w:style>
  <w:style w:type="character" w:customStyle="1" w:styleId="preformatted">
    <w:name w:val="preformatted"/>
    <w:basedOn w:val="Standardnpsmoodstavce"/>
    <w:rsid w:val="0057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Riedlova Michaela</cp:lastModifiedBy>
  <cp:revision>2</cp:revision>
  <cp:lastPrinted>2015-04-16T11:41:00Z</cp:lastPrinted>
  <dcterms:created xsi:type="dcterms:W3CDTF">2015-07-30T14:35:00Z</dcterms:created>
  <dcterms:modified xsi:type="dcterms:W3CDTF">2015-07-30T14:35:00Z</dcterms:modified>
</cp:coreProperties>
</file>